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ACAE4"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1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к учетной политике</w:t>
      </w:r>
    </w:p>
    <w:p w14:paraId="40885A45"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 постоянно действующей комиссии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по поступлению и выбытию активов</w:t>
      </w:r>
    </w:p>
    <w:p w14:paraId="43282F67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В состав постоянно действующей комиссии по поступлению и выбытию активов входят:</w:t>
      </w:r>
    </w:p>
    <w:p w14:paraId="63B77DAA">
      <w:pPr>
        <w:spacing w:line="240" w:lineRule="auto"/>
        <w:rPr>
          <w:rFonts w:hint="default"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</w:rPr>
        <w:t>– председатель комиссии – 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аведующий</w:t>
      </w:r>
      <w:r>
        <w:rPr>
          <w:rFonts w:hint="default" w:hAnsi="Times New Roman" w:cs="Times New Roman"/>
          <w:color w:val="000000"/>
          <w:sz w:val="24"/>
          <w:szCs w:val="24"/>
          <w:lang w:val="ru-RU"/>
        </w:rPr>
        <w:t xml:space="preserve"> сектором экономики и финансов</w:t>
      </w:r>
    </w:p>
    <w:p w14:paraId="4A482295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члены комиссии:</w:t>
      </w:r>
    </w:p>
    <w:p w14:paraId="2070AF8B">
      <w:pPr>
        <w:numPr>
          <w:ilvl w:val="0"/>
          <w:numId w:val="0"/>
        </w:numPr>
        <w:spacing w:beforeAutospacing="1" w:afterAutospacing="1" w:line="240" w:lineRule="auto"/>
        <w:ind w:left="420" w:leftChars="0" w:right="180" w:rightChars="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</w:p>
    <w:p w14:paraId="3BA47FD4"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Главный</w:t>
      </w:r>
      <w:r>
        <w:rPr>
          <w:rFonts w:hint="default" w:hAnsi="Times New Roman" w:cs="Times New Roman"/>
          <w:color w:val="000000"/>
          <w:sz w:val="24"/>
          <w:szCs w:val="24"/>
          <w:lang w:val="ru-RU"/>
        </w:rPr>
        <w:t xml:space="preserve"> специалист по земельным и имущественным отношениям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0AF89531"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Главный</w:t>
      </w:r>
      <w:r>
        <w:rPr>
          <w:rFonts w:hint="default" w:hAnsi="Times New Roman" w:cs="Times New Roman"/>
          <w:color w:val="000000"/>
          <w:sz w:val="24"/>
          <w:szCs w:val="24"/>
          <w:lang w:val="ru-RU"/>
        </w:rPr>
        <w:t xml:space="preserve"> специалист по ведению бухгалтерского учета;</w:t>
      </w:r>
    </w:p>
    <w:p w14:paraId="5653450D"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int="default" w:hAnsi="Times New Roman" w:cs="Times New Roman"/>
          <w:color w:val="000000"/>
          <w:sz w:val="24"/>
          <w:szCs w:val="24"/>
          <w:lang w:val="ru-RU"/>
        </w:rPr>
        <w:t>Главный специалист по формированию и исполнению бюджета.</w:t>
      </w:r>
    </w:p>
    <w:p w14:paraId="259FBFF3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2. Комиссия выполняет свои функции в соответствии с положением, утверждаемым руководителем учреждения.</w:t>
      </w: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4C28B35"/>
    <w:multiLevelType w:val="multilevel"/>
    <w:tmpl w:val="74C28B3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  <w:rsid w:val="2C85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before="100" w:beforeAutospacing="1" w:after="100" w:afterAutospacing="1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5"/>
    <w:qFormat/>
    <w:uiPriority w:val="9"/>
    <w:pPr>
      <w:keepNext/>
      <w:keepLines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Heading 1 Char"/>
    <w:basedOn w:val="3"/>
    <w:link w:val="2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:creator>Пользователь</dc:creator>
  <dc:description>Подготовлено экспертами Группы Актион</dc:description>
  <cp:lastModifiedBy>WPS_1709807479</cp:lastModifiedBy>
  <dcterms:modified xsi:type="dcterms:W3CDTF">2026-03-10T06:30:12Z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82F444F919884A0A9D20AACEB907B10B_12</vt:lpwstr>
  </property>
</Properties>
</file>